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63B4E889" w:rsidR="00F00E0C" w:rsidRDefault="003B010C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October</w:t>
            </w:r>
            <w:r w:rsidR="00602BA9">
              <w:rPr>
                <w:rFonts w:ascii="Arial"/>
                <w:sz w:val="18"/>
              </w:rPr>
              <w:t xml:space="preserve"> </w:t>
            </w:r>
            <w:r w:rsidR="00DF3D84">
              <w:rPr>
                <w:rFonts w:ascii="Arial"/>
                <w:sz w:val="18"/>
              </w:rPr>
              <w:t>23</w:t>
            </w:r>
            <w:r w:rsidR="00DA2B60">
              <w:rPr>
                <w:rFonts w:ascii="Arial"/>
                <w:sz w:val="18"/>
              </w:rPr>
              <w:t>, 2024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06E821C1" w:rsidR="00F00E0C" w:rsidRDefault="00863881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Humboldt</w:t>
            </w:r>
          </w:p>
        </w:tc>
      </w:tr>
      <w:tr w:rsidR="00F00E0C" w:rsidRPr="003724CE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5647613F" w:rsidR="00F00E0C" w:rsidRPr="003724CE" w:rsidRDefault="00DF3D84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Union Justice</w:t>
            </w:r>
            <w:r w:rsidR="005E6DB7" w:rsidRPr="003724CE">
              <w:rPr>
                <w:rFonts w:ascii="Arial"/>
                <w:sz w:val="18"/>
              </w:rPr>
              <w:t xml:space="preserve">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Pr="003724CE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0E4212E7" w:rsidR="00F00E0C" w:rsidRPr="003724CE" w:rsidRDefault="00DF3D84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Jim Loveless</w:t>
            </w:r>
          </w:p>
        </w:tc>
      </w:tr>
      <w:tr w:rsidR="00F00E0C" w:rsidRPr="003724CE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Defense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1CD00B65" w:rsidR="001628B1" w:rsidRPr="003724CE" w:rsidRDefault="00D56DF5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Debra</w:t>
            </w:r>
            <w:r w:rsidR="00863881"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Amens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3724CE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73332522" w:rsidR="00F00E0C" w:rsidRPr="003724CE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</w:t>
            </w:r>
            <w:r w:rsidR="00863881">
              <w:rPr>
                <w:rFonts w:ascii="Arial" w:hAnsi="Arial" w:cs="Arial"/>
                <w:sz w:val="18"/>
              </w:rPr>
              <w:t>Anthony Gordon</w:t>
            </w:r>
            <w:r w:rsidR="00D56DF5">
              <w:rPr>
                <w:rFonts w:ascii="Arial" w:hAnsi="Arial" w:cs="Arial"/>
                <w:sz w:val="18"/>
              </w:rPr>
              <w:t xml:space="preserve">, Aaron </w:t>
            </w:r>
            <w:proofErr w:type="gramStart"/>
            <w:r w:rsidR="00D56DF5">
              <w:rPr>
                <w:rFonts w:ascii="Arial" w:hAnsi="Arial" w:cs="Arial"/>
                <w:sz w:val="18"/>
              </w:rPr>
              <w:t xml:space="preserve">Russell,   </w:t>
            </w:r>
            <w:proofErr w:type="gramEnd"/>
            <w:r w:rsidR="00D56DF5">
              <w:rPr>
                <w:rFonts w:ascii="Arial" w:hAnsi="Arial" w:cs="Arial"/>
                <w:sz w:val="18"/>
              </w:rPr>
              <w:t xml:space="preserve">  </w:t>
            </w:r>
            <w:r w:rsidR="00032290">
              <w:rPr>
                <w:rFonts w:ascii="Arial" w:hAnsi="Arial" w:cs="Arial"/>
                <w:sz w:val="18"/>
              </w:rPr>
              <w:t xml:space="preserve">        </w:t>
            </w:r>
            <w:r w:rsidR="00D56DF5">
              <w:rPr>
                <w:rFonts w:ascii="Arial" w:hAnsi="Arial" w:cs="Arial"/>
                <w:sz w:val="18"/>
              </w:rPr>
              <w:t xml:space="preserve">                      and Elizabeth Evans, </w:t>
            </w:r>
          </w:p>
          <w:p w14:paraId="2F52D5C6" w14:textId="2DFEBE1A" w:rsidR="001628B1" w:rsidRPr="003724CE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Deputy </w:t>
            </w:r>
            <w:r w:rsidR="001305EC" w:rsidRPr="003724CE">
              <w:rPr>
                <w:rFonts w:ascii="Arial" w:hAnsi="Arial" w:cs="Arial"/>
                <w:sz w:val="18"/>
              </w:rPr>
              <w:t>District</w:t>
            </w:r>
            <w:r w:rsidRPr="003724CE">
              <w:rPr>
                <w:rFonts w:ascii="Arial" w:hAnsi="Arial" w:cs="Arial"/>
                <w:sz w:val="18"/>
              </w:rPr>
              <w:t xml:space="preserve"> Attorney</w:t>
            </w:r>
            <w:r w:rsidR="00D56DF5">
              <w:rPr>
                <w:rFonts w:ascii="Arial" w:hAnsi="Arial" w:cs="Arial"/>
                <w:sz w:val="18"/>
              </w:rPr>
              <w:t>s</w:t>
            </w:r>
          </w:p>
        </w:tc>
      </w:tr>
      <w:tr w:rsidR="00F00E0C" w:rsidRPr="003724CE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11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3724CE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D56DF5">
              <w:rPr>
                <w:color w:val="231F20"/>
                <w:sz w:val="21"/>
                <w:highlight w:val="yellow"/>
              </w:rPr>
              <w:t>In</w:t>
            </w:r>
            <w:r w:rsidRPr="00D56DF5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D56DF5">
              <w:rPr>
                <w:color w:val="231F20"/>
                <w:sz w:val="21"/>
                <w:highlight w:val="yellow"/>
              </w:rPr>
              <w:t>Person</w:t>
            </w:r>
            <w:r w:rsidRPr="003724CE">
              <w:rPr>
                <w:color w:val="231F20"/>
                <w:spacing w:val="3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Virtual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3724CE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Number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of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396B1EE5" w:rsidR="00F00E0C" w:rsidRPr="003724CE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</w:t>
            </w:r>
            <w:r w:rsidR="00D56DF5">
              <w:rPr>
                <w:rFonts w:ascii="Arial" w:hAnsi="Arial" w:cs="Arial"/>
                <w:sz w:val="18"/>
              </w:rPr>
              <w:t>2 clients (3 cases)</w:t>
            </w:r>
          </w:p>
        </w:tc>
      </w:tr>
      <w:tr w:rsidR="00F00E0C" w:rsidRPr="003724CE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Defendants</w:t>
            </w:r>
            <w:r w:rsidRPr="003724CE">
              <w:rPr>
                <w:color w:val="231F20"/>
                <w:spacing w:val="11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3724CE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D56DF5">
              <w:rPr>
                <w:color w:val="231F20"/>
                <w:sz w:val="21"/>
                <w:highlight w:val="yellow"/>
              </w:rPr>
              <w:t>In</w:t>
            </w:r>
            <w:r w:rsidRPr="00D56DF5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D56DF5">
              <w:rPr>
                <w:color w:val="231F20"/>
                <w:sz w:val="21"/>
                <w:highlight w:val="yellow"/>
              </w:rPr>
              <w:t>Person</w:t>
            </w:r>
            <w:r w:rsidRPr="003724CE">
              <w:rPr>
                <w:color w:val="231F20"/>
                <w:spacing w:val="5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Virtual</w:t>
            </w:r>
            <w:r w:rsidRPr="003724CE">
              <w:rPr>
                <w:color w:val="231F20"/>
                <w:spacing w:val="5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3724CE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3724CE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Custodial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3724CE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IC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OOC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2"/>
                <w:sz w:val="21"/>
              </w:rPr>
              <w:t xml:space="preserve"> </w:t>
            </w:r>
            <w:r w:rsidRPr="00D56DF5">
              <w:rPr>
                <w:color w:val="231F20"/>
                <w:spacing w:val="-2"/>
                <w:sz w:val="21"/>
                <w:highlight w:val="yellow"/>
              </w:rPr>
              <w:t>Blend</w:t>
            </w:r>
          </w:p>
        </w:tc>
      </w:tr>
      <w:tr w:rsidR="00F00E0C" w:rsidRPr="003724CE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3724CE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Hearing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49ECBB4E" w:rsidR="00F00E0C" w:rsidRPr="003724CE" w:rsidRDefault="00A8637F">
            <w:pPr>
              <w:pStyle w:val="TableParagraph"/>
              <w:spacing w:before="19"/>
              <w:rPr>
                <w:rFonts w:ascii="Arial"/>
                <w:sz w:val="18"/>
                <w:highlight w:val="yellow"/>
              </w:rPr>
            </w:pPr>
            <w:r w:rsidRPr="003724CE">
              <w:rPr>
                <w:rFonts w:ascii="Arial"/>
                <w:sz w:val="18"/>
                <w:highlight w:val="yellow"/>
              </w:rPr>
              <w:t>Pretrial Conference</w:t>
            </w:r>
            <w:r w:rsidR="00E57505" w:rsidRPr="003724CE">
              <w:rPr>
                <w:rFonts w:ascii="Arial"/>
                <w:sz w:val="18"/>
                <w:highlight w:val="yellow"/>
              </w:rPr>
              <w:t>s</w:t>
            </w:r>
            <w:r w:rsidR="00280983" w:rsidRPr="003724CE">
              <w:rPr>
                <w:rFonts w:ascii="Arial"/>
                <w:sz w:val="18"/>
                <w:highlight w:val="yellow"/>
              </w:rPr>
              <w:t xml:space="preserve">, </w:t>
            </w:r>
            <w:r w:rsidR="00D56DF5">
              <w:rPr>
                <w:rFonts w:ascii="Arial"/>
                <w:sz w:val="18"/>
                <w:highlight w:val="yellow"/>
              </w:rPr>
              <w:t xml:space="preserve">Preliminary Hearing, and </w:t>
            </w:r>
            <w:r w:rsidR="00280983" w:rsidRPr="003724CE">
              <w:rPr>
                <w:rFonts w:ascii="Arial"/>
                <w:sz w:val="18"/>
                <w:highlight w:val="yellow"/>
              </w:rPr>
              <w:t>Review Hearing</w:t>
            </w:r>
          </w:p>
        </w:tc>
      </w:tr>
      <w:tr w:rsidR="00F00E0C" w:rsidRPr="003724CE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3724CE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3724CE">
              <w:rPr>
                <w:b/>
                <w:color w:val="231F20"/>
                <w:sz w:val="21"/>
              </w:rPr>
              <w:t>Attorney's</w:t>
            </w:r>
            <w:r w:rsidRPr="003724CE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3724CE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3724CE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3724C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for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3724CE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D56DF5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3724C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have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3724CE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D56DF5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3724CE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have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had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substantive,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confidential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meeting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3724CE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each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before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56DF5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3724C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prepared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handle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their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clients'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3724CE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D56DF5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3724CE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3724CE">
              <w:rPr>
                <w:b/>
                <w:bCs/>
                <w:color w:val="231F20"/>
                <w:sz w:val="21"/>
              </w:rPr>
              <w:t>How</w:t>
            </w:r>
            <w:r w:rsidRPr="003724CE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prepared</w:t>
            </w:r>
            <w:r w:rsidRPr="003724CE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did</w:t>
            </w:r>
            <w:r w:rsidRPr="003724CE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the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Attorney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532682CB" w:rsidR="00C9265C" w:rsidRPr="003724CE" w:rsidRDefault="00D56DF5" w:rsidP="009B6950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Debra</w:t>
            </w:r>
            <w:r w:rsidR="00FD5090" w:rsidRPr="003724CE">
              <w:rPr>
                <w:sz w:val="21"/>
              </w:rPr>
              <w:t xml:space="preserve"> </w:t>
            </w:r>
            <w:r w:rsidR="00280983" w:rsidRPr="003724CE">
              <w:rPr>
                <w:sz w:val="21"/>
              </w:rPr>
              <w:t>appeared prepared for court.</w:t>
            </w:r>
          </w:p>
        </w:tc>
      </w:tr>
      <w:tr w:rsidR="00F00E0C" w:rsidRPr="003724CE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3724CE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3724CE">
              <w:rPr>
                <w:b/>
                <w:bCs/>
                <w:color w:val="231F20"/>
                <w:sz w:val="21"/>
              </w:rPr>
              <w:t>How</w:t>
            </w:r>
            <w:r w:rsidRPr="003724CE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3724CE">
              <w:rPr>
                <w:b/>
                <w:bCs/>
                <w:color w:val="231F20"/>
                <w:sz w:val="21"/>
              </w:rPr>
              <w:t>knowledgeable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was</w:t>
            </w:r>
            <w:r w:rsidRPr="003724CE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the</w:t>
            </w:r>
            <w:r w:rsidRPr="003724CE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Attorney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about</w:t>
            </w:r>
            <w:r w:rsidRPr="003724CE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their</w:t>
            </w:r>
            <w:r w:rsidRPr="003724CE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19F39ED1" w:rsidR="0008100F" w:rsidRPr="003724CE" w:rsidRDefault="00D56DF5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Debra</w:t>
            </w:r>
            <w:r w:rsidR="001628B1" w:rsidRPr="003724CE">
              <w:rPr>
                <w:sz w:val="21"/>
              </w:rPr>
              <w:t xml:space="preserve"> appeared to </w:t>
            </w:r>
            <w:r w:rsidR="00FD5090" w:rsidRPr="003724CE">
              <w:rPr>
                <w:sz w:val="21"/>
              </w:rPr>
              <w:t xml:space="preserve">be </w:t>
            </w:r>
            <w:r w:rsidR="001628B1" w:rsidRPr="003724CE">
              <w:rPr>
                <w:sz w:val="21"/>
              </w:rPr>
              <w:t>know</w:t>
            </w:r>
            <w:r w:rsidR="009B6950" w:rsidRPr="003724CE">
              <w:rPr>
                <w:sz w:val="21"/>
              </w:rPr>
              <w:t>ledgeable about</w:t>
            </w:r>
            <w:r w:rsidR="001628B1" w:rsidRPr="003724CE">
              <w:rPr>
                <w:sz w:val="21"/>
              </w:rPr>
              <w:t xml:space="preserve"> h</w:t>
            </w:r>
            <w:r w:rsidR="00280983" w:rsidRPr="003724CE">
              <w:rPr>
                <w:sz w:val="21"/>
              </w:rPr>
              <w:t>er</w:t>
            </w:r>
            <w:r w:rsidR="001628B1" w:rsidRPr="003724CE">
              <w:rPr>
                <w:sz w:val="21"/>
              </w:rPr>
              <w:t xml:space="preserve"> case</w:t>
            </w:r>
            <w:r w:rsidR="00280983" w:rsidRPr="003724CE">
              <w:rPr>
                <w:sz w:val="21"/>
              </w:rPr>
              <w:t>s</w:t>
            </w:r>
            <w:r w:rsidR="009B6950" w:rsidRPr="003724CE">
              <w:rPr>
                <w:sz w:val="21"/>
              </w:rPr>
              <w:t xml:space="preserve">. </w:t>
            </w:r>
          </w:p>
        </w:tc>
      </w:tr>
      <w:tr w:rsidR="00F00E0C" w:rsidRPr="003724CE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3724CE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3724CE">
              <w:rPr>
                <w:b/>
                <w:bCs/>
                <w:color w:val="231F20"/>
                <w:sz w:val="21"/>
              </w:rPr>
              <w:t>The</w:t>
            </w:r>
            <w:r w:rsidRPr="003724CE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Attorney's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courtroom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advocacy</w:t>
            </w:r>
            <w:r w:rsidRPr="003724CE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skills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20B100FF" w:rsidR="0008100F" w:rsidRPr="003724CE" w:rsidRDefault="00D56DF5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Debra</w:t>
            </w:r>
            <w:r w:rsidR="001628B1" w:rsidRPr="003724CE">
              <w:rPr>
                <w:sz w:val="21"/>
              </w:rPr>
              <w:t xml:space="preserve"> did a good job advocating for h</w:t>
            </w:r>
            <w:r w:rsidR="00280983" w:rsidRPr="003724CE">
              <w:rPr>
                <w:sz w:val="21"/>
              </w:rPr>
              <w:t>er</w:t>
            </w:r>
            <w:r w:rsidR="001628B1" w:rsidRPr="003724CE">
              <w:rPr>
                <w:sz w:val="21"/>
              </w:rPr>
              <w:t xml:space="preserve"> client</w:t>
            </w:r>
            <w:r w:rsidR="00280983" w:rsidRPr="003724CE">
              <w:rPr>
                <w:sz w:val="21"/>
              </w:rPr>
              <w:t>s</w:t>
            </w:r>
            <w:r w:rsidR="001628B1" w:rsidRPr="003724CE">
              <w:rPr>
                <w:sz w:val="21"/>
              </w:rPr>
              <w:t xml:space="preserve"> during the court hearing.</w:t>
            </w:r>
          </w:p>
        </w:tc>
      </w:tr>
      <w:tr w:rsidR="00F00E0C" w:rsidRPr="003724CE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3724CE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3724CE">
              <w:rPr>
                <w:b/>
                <w:bCs/>
                <w:color w:val="231F20"/>
                <w:sz w:val="21"/>
              </w:rPr>
              <w:t>H</w:t>
            </w:r>
            <w:r w:rsidR="003B010C" w:rsidRPr="003724CE">
              <w:rPr>
                <w:b/>
                <w:bCs/>
                <w:color w:val="231F20"/>
                <w:sz w:val="21"/>
              </w:rPr>
              <w:t>ow</w:t>
            </w:r>
            <w:r w:rsidR="003B010C" w:rsidRPr="003724CE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b/>
                <w:bCs/>
                <w:color w:val="231F20"/>
                <w:sz w:val="21"/>
              </w:rPr>
              <w:t>was</w:t>
            </w:r>
            <w:r w:rsidR="003B010C" w:rsidRPr="003724CE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b/>
                <w:bCs/>
                <w:color w:val="231F20"/>
                <w:sz w:val="21"/>
              </w:rPr>
              <w:t>the</w:t>
            </w:r>
            <w:r w:rsidR="003B010C" w:rsidRPr="003724CE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3724CE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3724CE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09C12067" w:rsidR="0008100F" w:rsidRPr="003724CE" w:rsidRDefault="001628B1" w:rsidP="007B75CA">
            <w:pPr>
              <w:pStyle w:val="TableParagraph"/>
              <w:spacing w:before="6"/>
              <w:rPr>
                <w:sz w:val="21"/>
              </w:rPr>
            </w:pPr>
            <w:r w:rsidRPr="003724CE">
              <w:rPr>
                <w:sz w:val="21"/>
              </w:rPr>
              <w:t>The attorney-client communication appeared to be good</w:t>
            </w:r>
            <w:r w:rsidR="00280983" w:rsidRPr="003724CE">
              <w:rPr>
                <w:sz w:val="21"/>
              </w:rPr>
              <w:t>.</w:t>
            </w:r>
          </w:p>
        </w:tc>
      </w:tr>
      <w:tr w:rsidR="00F00E0C" w:rsidRPr="003724CE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3724CE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3724CE">
              <w:rPr>
                <w:b/>
                <w:color w:val="231F20"/>
                <w:sz w:val="21"/>
              </w:rPr>
              <w:t>Case</w:t>
            </w:r>
            <w:r w:rsidRPr="003724CE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3724CE">
              <w:rPr>
                <w:b/>
                <w:color w:val="231F20"/>
                <w:sz w:val="21"/>
              </w:rPr>
              <w:t>Stage-Specific</w:t>
            </w:r>
            <w:r w:rsidRPr="003724CE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3724CE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3724CE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3724C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argue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for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pretrial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release/OR,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for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reasonable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3724CE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D56DF5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counsel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each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refrain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from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waiving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trial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rights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until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completed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investigation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of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D56DF5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3724CE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have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counseled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clients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refrain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from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waiving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rights</w:t>
            </w:r>
            <w:r w:rsidRPr="003724CE">
              <w:rPr>
                <w:color w:val="231F20"/>
                <w:spacing w:val="3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6B3C1111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="005B016D" w:rsidRPr="00D56DF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adequately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advise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clients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of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consequences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accepting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plea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going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trial,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including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any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collateral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6481A40A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D56DF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present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mitigating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evidence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and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provide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argument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D56DF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address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Presentence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Investigation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Report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(PSI)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Psychosexual</w:t>
            </w:r>
            <w:r w:rsidRPr="003724CE">
              <w:rPr>
                <w:color w:val="231F20"/>
                <w:spacing w:val="1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Evaluation/Risk</w:t>
            </w:r>
            <w:r w:rsidRPr="003724CE">
              <w:rPr>
                <w:color w:val="231F20"/>
                <w:spacing w:val="1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Assessment</w:t>
            </w:r>
            <w:r w:rsidRPr="003724CE">
              <w:rPr>
                <w:color w:val="231F20"/>
                <w:spacing w:val="14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D56DF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court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require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defendant(s)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reimburse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entity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for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D56DF5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3724CE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3724CE">
              <w:rPr>
                <w:b/>
                <w:color w:val="231F20"/>
                <w:sz w:val="21"/>
              </w:rPr>
              <w:t>Overall</w:t>
            </w:r>
            <w:r w:rsidRPr="003724CE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3724CE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3724C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Does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have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sustainable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3724CE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D56DF5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3724CE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Overall,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does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be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providing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effective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representation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3724CE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their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56DF5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77777777" w:rsidR="00F00E0C" w:rsidRPr="003724CE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3724CE">
              <w:rPr>
                <w:b/>
                <w:color w:val="231F20"/>
                <w:sz w:val="21"/>
              </w:rPr>
              <w:t>Remarks/Recommendations/Notes</w:t>
            </w:r>
            <w:r w:rsidRPr="003724CE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3724CE">
              <w:rPr>
                <w:b/>
                <w:color w:val="231F20"/>
                <w:sz w:val="21"/>
              </w:rPr>
              <w:t>(</w:t>
            </w:r>
            <w:proofErr w:type="gramStart"/>
            <w:r w:rsidRPr="003724CE">
              <w:rPr>
                <w:b/>
                <w:color w:val="231F20"/>
                <w:sz w:val="21"/>
              </w:rPr>
              <w:t>continue</w:t>
            </w:r>
            <w:r w:rsidRPr="003724CE">
              <w:rPr>
                <w:b/>
                <w:color w:val="231F20"/>
                <w:spacing w:val="16"/>
                <w:sz w:val="21"/>
              </w:rPr>
              <w:t xml:space="preserve"> </w:t>
            </w:r>
            <w:r w:rsidRPr="003724CE">
              <w:rPr>
                <w:b/>
                <w:color w:val="231F20"/>
                <w:sz w:val="21"/>
              </w:rPr>
              <w:t>on</w:t>
            </w:r>
            <w:proofErr w:type="gramEnd"/>
            <w:r w:rsidRPr="003724CE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3724CE">
              <w:rPr>
                <w:b/>
                <w:color w:val="231F20"/>
                <w:spacing w:val="-2"/>
                <w:sz w:val="21"/>
              </w:rPr>
              <w:t>reverse):</w:t>
            </w:r>
          </w:p>
          <w:p w14:paraId="0A7EC1CB" w14:textId="77777777" w:rsidR="00954624" w:rsidRPr="00954624" w:rsidRDefault="00D56DF5" w:rsidP="00954624">
            <w:pPr>
              <w:pStyle w:val="BodyText"/>
              <w:numPr>
                <w:ilvl w:val="0"/>
                <w:numId w:val="1"/>
              </w:numPr>
              <w:rPr>
                <w:bCs w:val="0"/>
              </w:rPr>
            </w:pPr>
            <w:r>
              <w:rPr>
                <w:b w:val="0"/>
              </w:rPr>
              <w:t>One of Debra’s clients was in custody. He had two cases pending.</w:t>
            </w:r>
          </w:p>
          <w:p w14:paraId="27CBD336" w14:textId="66DDF5DB" w:rsidR="001332AC" w:rsidRPr="00954624" w:rsidRDefault="00D56DF5" w:rsidP="00954624">
            <w:pPr>
              <w:pStyle w:val="BodyText"/>
              <w:numPr>
                <w:ilvl w:val="0"/>
                <w:numId w:val="2"/>
              </w:numPr>
              <w:rPr>
                <w:bCs w:val="0"/>
              </w:rPr>
            </w:pPr>
            <w:r>
              <w:rPr>
                <w:b w:val="0"/>
              </w:rPr>
              <w:t xml:space="preserve">One of his cases was a preliminary hearing on a Sexual Assault on a Child Under the Age of 16 Years. The State called 3 witnesses: the victim and two police officers. Debra did a good job cross-examining all 3 witnesses. At the conclusion of the evidentiary hearing and prior to the case being transferred to District Court, Debra argued for a </w:t>
            </w:r>
            <w:r w:rsidR="00954624">
              <w:rPr>
                <w:b w:val="0"/>
              </w:rPr>
              <w:t xml:space="preserve">reduction of the bail. The State opposed the bail to be lowered. The court </w:t>
            </w:r>
          </w:p>
        </w:tc>
      </w:tr>
    </w:tbl>
    <w:p w14:paraId="2FBDA6D0" w14:textId="77777777" w:rsidR="00F00E0C" w:rsidRPr="003724CE" w:rsidRDefault="00F00E0C">
      <w:pPr>
        <w:spacing w:line="250" w:lineRule="exact"/>
        <w:rPr>
          <w:sz w:val="21"/>
        </w:rPr>
        <w:sectPr w:rsidR="00F00E0C" w:rsidRPr="003724CE">
          <w:type w:val="continuous"/>
          <w:pgSz w:w="12240" w:h="15840"/>
          <w:pgMar w:top="1060" w:right="980" w:bottom="280" w:left="880" w:header="720" w:footer="720" w:gutter="0"/>
          <w:cols w:space="720"/>
        </w:sectPr>
      </w:pPr>
    </w:p>
    <w:p w14:paraId="19B5483D" w14:textId="77777777" w:rsidR="00F00E0C" w:rsidRPr="003724CE" w:rsidRDefault="003B010C">
      <w:pPr>
        <w:pStyle w:val="BodyText"/>
        <w:rPr>
          <w:color w:val="231F20"/>
          <w:spacing w:val="-2"/>
        </w:rPr>
      </w:pPr>
      <w:r w:rsidRPr="003724CE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478784" behindDoc="1" locked="0" layoutInCell="1" allowOverlap="1" wp14:anchorId="5AA11B5C" wp14:editId="71A37209">
                <wp:simplePos x="0" y="0"/>
                <wp:positionH relativeFrom="page">
                  <wp:posOffset>633501</wp:posOffset>
                </wp:positionH>
                <wp:positionV relativeFrom="page">
                  <wp:posOffset>679576</wp:posOffset>
                </wp:positionV>
                <wp:extent cx="6443980" cy="855599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3980" cy="8555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43980" h="8555990">
                              <a:moveTo>
                                <a:pt x="6443472" y="0"/>
                              </a:moveTo>
                              <a:lnTo>
                                <a:pt x="6419101" y="0"/>
                              </a:lnTo>
                              <a:lnTo>
                                <a:pt x="6419101" y="24396"/>
                              </a:lnTo>
                              <a:lnTo>
                                <a:pt x="6419101" y="8531377"/>
                              </a:lnTo>
                              <a:lnTo>
                                <a:pt x="24396" y="8531377"/>
                              </a:lnTo>
                              <a:lnTo>
                                <a:pt x="24396" y="24396"/>
                              </a:lnTo>
                              <a:lnTo>
                                <a:pt x="6419101" y="24396"/>
                              </a:lnTo>
                              <a:lnTo>
                                <a:pt x="6419101" y="0"/>
                              </a:lnTo>
                              <a:lnTo>
                                <a:pt x="24396" y="0"/>
                              </a:lnTo>
                              <a:lnTo>
                                <a:pt x="0" y="0"/>
                              </a:lnTo>
                              <a:lnTo>
                                <a:pt x="0" y="8555761"/>
                              </a:lnTo>
                              <a:lnTo>
                                <a:pt x="24384" y="8555761"/>
                              </a:lnTo>
                              <a:lnTo>
                                <a:pt x="6419101" y="8555761"/>
                              </a:lnTo>
                              <a:lnTo>
                                <a:pt x="6443472" y="8555761"/>
                              </a:lnTo>
                              <a:lnTo>
                                <a:pt x="6443472" y="8531377"/>
                              </a:lnTo>
                              <a:lnTo>
                                <a:pt x="6443472" y="24396"/>
                              </a:lnTo>
                              <a:lnTo>
                                <a:pt x="6443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1EEDF8" id="Graphic 1" o:spid="_x0000_s1026" style="position:absolute;margin-left:49.9pt;margin-top:53.5pt;width:507.4pt;height:673.7pt;z-index:-1583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43980,8555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" path="m6443472,r-24371,l6419101,24396r,8506981l24396,8531377r,-8506981l6419101,24396r,-24396l24396,,,,,8555761r24384,l6419101,8555761r24371,l6443472,8531377r,-8506981l6443472,xe" fillcolor="#231f20" stroked="f">
                <v:path arrowok="t"/>
                <w10:wrap anchorx="page" anchory="page"/>
              </v:shape>
            </w:pict>
          </mc:Fallback>
        </mc:AlternateContent>
      </w:r>
      <w:r w:rsidRPr="003724CE">
        <w:rPr>
          <w:color w:val="231F20"/>
        </w:rPr>
        <w:t>Remarks/Recommendations/Notes,</w:t>
      </w:r>
      <w:r w:rsidRPr="003724CE">
        <w:rPr>
          <w:color w:val="231F20"/>
          <w:spacing w:val="37"/>
        </w:rPr>
        <w:t xml:space="preserve"> </w:t>
      </w:r>
      <w:r w:rsidRPr="003724CE">
        <w:rPr>
          <w:color w:val="231F20"/>
          <w:spacing w:val="-2"/>
        </w:rPr>
        <w:t>continued:</w:t>
      </w:r>
    </w:p>
    <w:p w14:paraId="54712FE1" w14:textId="77777777" w:rsidR="00954624" w:rsidRPr="00954624" w:rsidRDefault="00954624" w:rsidP="00954624">
      <w:pPr>
        <w:pStyle w:val="BodyText"/>
        <w:ind w:left="720" w:firstLine="360"/>
        <w:rPr>
          <w:b w:val="0"/>
          <w:bCs w:val="0"/>
          <w:color w:val="231F20"/>
          <w:spacing w:val="-2"/>
        </w:rPr>
      </w:pPr>
      <w:r>
        <w:rPr>
          <w:b w:val="0"/>
        </w:rPr>
        <w:t>lowered the bail from $250,000 to $10,000 cash or bond.</w:t>
      </w:r>
    </w:p>
    <w:p w14:paraId="40EBF4B4" w14:textId="4D5B38E5" w:rsidR="003724CE" w:rsidRPr="003724CE" w:rsidRDefault="00954624" w:rsidP="00954624">
      <w:pPr>
        <w:pStyle w:val="BodyText"/>
        <w:numPr>
          <w:ilvl w:val="0"/>
          <w:numId w:val="2"/>
        </w:numPr>
        <w:rPr>
          <w:b w:val="0"/>
          <w:bCs w:val="0"/>
          <w:color w:val="231F20"/>
          <w:spacing w:val="-2"/>
        </w:rPr>
      </w:pPr>
      <w:r>
        <w:rPr>
          <w:b w:val="0"/>
          <w:bCs w:val="0"/>
          <w:color w:val="231F20"/>
          <w:spacing w:val="-2"/>
        </w:rPr>
        <w:t>This client had a second case that was set for a review hearing today. No resolution was reached. The parties requested that this case be set for a pretrial conference in January. The court set the pretrial conference on January 15, 2025.</w:t>
      </w:r>
      <w:r w:rsidR="001332AC" w:rsidRPr="003724CE">
        <w:rPr>
          <w:b w:val="0"/>
          <w:bCs w:val="0"/>
          <w:color w:val="231F20"/>
          <w:spacing w:val="-2"/>
        </w:rPr>
        <w:t xml:space="preserve"> </w:t>
      </w:r>
    </w:p>
    <w:p w14:paraId="2A7AEFDC" w14:textId="41B6C284" w:rsidR="00F36D7D" w:rsidRPr="003724CE" w:rsidRDefault="00954624" w:rsidP="00954624">
      <w:pPr>
        <w:pStyle w:val="BodyText"/>
        <w:numPr>
          <w:ilvl w:val="0"/>
          <w:numId w:val="1"/>
        </w:numPr>
        <w:rPr>
          <w:b w:val="0"/>
          <w:bCs w:val="0"/>
          <w:color w:val="231F20"/>
          <w:spacing w:val="-2"/>
        </w:rPr>
      </w:pPr>
      <w:r>
        <w:rPr>
          <w:b w:val="0"/>
          <w:bCs w:val="0"/>
          <w:color w:val="231F20"/>
          <w:spacing w:val="-2"/>
        </w:rPr>
        <w:t>Debra’s remaining client was out of custody and scheduled for a Pretrial Conference. This client was permitted to appear by Zoom. Unfortunately, the client did not appear by Zoom or in person. Debra waived the client’s right to a speedy preliminary hearing and the case was set for a preliminary hearing on December 2, 2024.</w:t>
      </w:r>
    </w:p>
    <w:sectPr w:rsidR="00F36D7D" w:rsidRPr="003724CE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0529C8"/>
    <w:multiLevelType w:val="hybridMultilevel"/>
    <w:tmpl w:val="002CD27E"/>
    <w:lvl w:ilvl="0" w:tplc="6340048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num w:numId="1" w16cid:durableId="1578319324">
    <w:abstractNumId w:val="1"/>
  </w:num>
  <w:num w:numId="2" w16cid:durableId="621425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32290"/>
    <w:rsid w:val="000541C3"/>
    <w:rsid w:val="0008079A"/>
    <w:rsid w:val="0008098A"/>
    <w:rsid w:val="0008100F"/>
    <w:rsid w:val="000A4F2B"/>
    <w:rsid w:val="000B1FDF"/>
    <w:rsid w:val="00121DB2"/>
    <w:rsid w:val="001305EC"/>
    <w:rsid w:val="001332AC"/>
    <w:rsid w:val="001628B1"/>
    <w:rsid w:val="00167EE2"/>
    <w:rsid w:val="0022184F"/>
    <w:rsid w:val="00230146"/>
    <w:rsid w:val="0025077E"/>
    <w:rsid w:val="002608B8"/>
    <w:rsid w:val="00280983"/>
    <w:rsid w:val="002F30D2"/>
    <w:rsid w:val="003035B4"/>
    <w:rsid w:val="00332AA5"/>
    <w:rsid w:val="003724CE"/>
    <w:rsid w:val="00373264"/>
    <w:rsid w:val="003737E1"/>
    <w:rsid w:val="00382160"/>
    <w:rsid w:val="003A1A2F"/>
    <w:rsid w:val="003B010C"/>
    <w:rsid w:val="003B4B6C"/>
    <w:rsid w:val="003B5049"/>
    <w:rsid w:val="003C4DE1"/>
    <w:rsid w:val="003D3BCE"/>
    <w:rsid w:val="003E1670"/>
    <w:rsid w:val="00431078"/>
    <w:rsid w:val="00496106"/>
    <w:rsid w:val="0049612C"/>
    <w:rsid w:val="004A21C6"/>
    <w:rsid w:val="004B241C"/>
    <w:rsid w:val="00552654"/>
    <w:rsid w:val="00566083"/>
    <w:rsid w:val="005B016D"/>
    <w:rsid w:val="005E62EC"/>
    <w:rsid w:val="005E6DB7"/>
    <w:rsid w:val="005E7B10"/>
    <w:rsid w:val="00602BA9"/>
    <w:rsid w:val="00612B83"/>
    <w:rsid w:val="00645C37"/>
    <w:rsid w:val="0066578A"/>
    <w:rsid w:val="00695340"/>
    <w:rsid w:val="006A23BE"/>
    <w:rsid w:val="006F7345"/>
    <w:rsid w:val="00723B2F"/>
    <w:rsid w:val="00743B27"/>
    <w:rsid w:val="00792811"/>
    <w:rsid w:val="007B75CA"/>
    <w:rsid w:val="007F0B66"/>
    <w:rsid w:val="007F6CC1"/>
    <w:rsid w:val="00813372"/>
    <w:rsid w:val="008524A4"/>
    <w:rsid w:val="00863881"/>
    <w:rsid w:val="00867B0F"/>
    <w:rsid w:val="0089169D"/>
    <w:rsid w:val="008B270D"/>
    <w:rsid w:val="008F41D5"/>
    <w:rsid w:val="00930EA9"/>
    <w:rsid w:val="009438E1"/>
    <w:rsid w:val="00947D18"/>
    <w:rsid w:val="00954624"/>
    <w:rsid w:val="009569DD"/>
    <w:rsid w:val="009928D6"/>
    <w:rsid w:val="009B6950"/>
    <w:rsid w:val="009D122A"/>
    <w:rsid w:val="00A12E33"/>
    <w:rsid w:val="00A73DAE"/>
    <w:rsid w:val="00A8637F"/>
    <w:rsid w:val="00A978E4"/>
    <w:rsid w:val="00AB19B5"/>
    <w:rsid w:val="00B3085F"/>
    <w:rsid w:val="00B6197C"/>
    <w:rsid w:val="00B6420B"/>
    <w:rsid w:val="00B81EEE"/>
    <w:rsid w:val="00BA5474"/>
    <w:rsid w:val="00BD72D8"/>
    <w:rsid w:val="00C06FEA"/>
    <w:rsid w:val="00C9265C"/>
    <w:rsid w:val="00CB1799"/>
    <w:rsid w:val="00CB3BA5"/>
    <w:rsid w:val="00CC14E0"/>
    <w:rsid w:val="00CD0F54"/>
    <w:rsid w:val="00D17299"/>
    <w:rsid w:val="00D24F93"/>
    <w:rsid w:val="00D56DF5"/>
    <w:rsid w:val="00D66A0F"/>
    <w:rsid w:val="00D7404F"/>
    <w:rsid w:val="00DA2B60"/>
    <w:rsid w:val="00DD5F67"/>
    <w:rsid w:val="00DF3D84"/>
    <w:rsid w:val="00E015DB"/>
    <w:rsid w:val="00E046A6"/>
    <w:rsid w:val="00E151F2"/>
    <w:rsid w:val="00E31535"/>
    <w:rsid w:val="00E57505"/>
    <w:rsid w:val="00E65260"/>
    <w:rsid w:val="00EB63A2"/>
    <w:rsid w:val="00EE01AA"/>
    <w:rsid w:val="00EF4ADD"/>
    <w:rsid w:val="00F00E0C"/>
    <w:rsid w:val="00F33D21"/>
    <w:rsid w:val="00F36D7D"/>
    <w:rsid w:val="00F617AF"/>
    <w:rsid w:val="00F80F1A"/>
    <w:rsid w:val="00F93549"/>
    <w:rsid w:val="00FA1A36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4</cp:revision>
  <dcterms:created xsi:type="dcterms:W3CDTF">2025-01-05T03:48:00Z</dcterms:created>
  <dcterms:modified xsi:type="dcterms:W3CDTF">2025-01-05T04:04:00Z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