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229424A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EA08B5">
              <w:rPr>
                <w:rFonts w:ascii="Arial"/>
                <w:sz w:val="18"/>
              </w:rPr>
              <w:t>7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1C9E304" w:rsidR="00F00E0C" w:rsidRDefault="0003570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03E818" w:rsidR="00F00E0C" w:rsidRDefault="00073C9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 Justice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F27046">
              <w:rPr>
                <w:rFonts w:ascii="Arial"/>
                <w:sz w:val="18"/>
              </w:rPr>
              <w:t xml:space="preserve"> Dept </w:t>
            </w:r>
            <w:r w:rsidR="00EA08B5">
              <w:rPr>
                <w:rFonts w:ascii="Arial"/>
                <w:sz w:val="18"/>
              </w:rPr>
              <w:t>B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629FCE0" w:rsidR="00F00E0C" w:rsidRDefault="00EA08B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66E4B808" w:rsidR="001628B1" w:rsidRDefault="007C4AD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Ryan McPhee</w:t>
            </w:r>
          </w:p>
          <w:p w14:paraId="20C03F20" w14:textId="73D8D855" w:rsidR="00860BFD" w:rsidRPr="00FD5090" w:rsidRDefault="005D35E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70A9A563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D10870">
              <w:rPr>
                <w:rFonts w:ascii="Arial" w:hAnsi="Arial" w:cs="Arial"/>
                <w:sz w:val="18"/>
              </w:rPr>
              <w:t>Daniel Roche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77FB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5E2A02">
              <w:rPr>
                <w:color w:val="231F20"/>
                <w:sz w:val="21"/>
                <w:highlight w:val="yellow"/>
              </w:rPr>
              <w:t>Virtual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Number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of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F77FB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77FBB">
              <w:rPr>
                <w:rFonts w:ascii="Arial" w:hAnsi="Arial" w:cs="Arial"/>
                <w:sz w:val="18"/>
              </w:rPr>
              <w:t xml:space="preserve"> </w:t>
            </w:r>
            <w:r w:rsidR="00935657" w:rsidRPr="00F77FB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77FB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5E2A02">
              <w:rPr>
                <w:color w:val="231F20"/>
                <w:sz w:val="21"/>
                <w:highlight w:val="yellow"/>
              </w:rPr>
              <w:t>Virtual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77FB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Custodial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77FB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5E2A02">
              <w:rPr>
                <w:color w:val="231F20"/>
                <w:sz w:val="21"/>
                <w:highlight w:val="yellow"/>
              </w:rPr>
              <w:t>IC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OOC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2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1B1C314B" w:rsidR="00D54894" w:rsidRPr="00F77FBB" w:rsidRDefault="005E2A0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CE6448C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</w:t>
            </w:r>
            <w:r w:rsidR="005E2A02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B5AD0F8" w:rsidR="00D54894" w:rsidRPr="00F77FBB" w:rsidRDefault="005E2A0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71DD511" w:rsidR="00F00E0C" w:rsidRPr="00F77FBB" w:rsidRDefault="005E2A02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Pretrial</w:t>
            </w:r>
            <w:r w:rsidR="0024242F" w:rsidRPr="00F77FBB">
              <w:rPr>
                <w:rFonts w:ascii="Arial"/>
                <w:sz w:val="18"/>
              </w:rPr>
              <w:t xml:space="preserve">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77FB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Attorney's</w:t>
            </w:r>
            <w:r w:rsidRPr="00F77FB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for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10870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10870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77FB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had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substantive,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confidential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meeting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77FB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each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before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10870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prepared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handle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their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clients'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D10870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77FB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77FBB">
              <w:rPr>
                <w:b/>
                <w:bCs/>
                <w:color w:val="231F20"/>
                <w:sz w:val="21"/>
              </w:rPr>
              <w:t>How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prepared</w:t>
            </w:r>
            <w:r w:rsidRPr="00F77FB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did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the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Attorney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7629FA82" w:rsidR="00A862BA" w:rsidRPr="00F77FBB" w:rsidRDefault="007C4AD8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Ryan</w:t>
            </w:r>
            <w:r w:rsidR="00081921" w:rsidRPr="00F77FBB">
              <w:rPr>
                <w:sz w:val="21"/>
              </w:rPr>
              <w:t xml:space="preserve"> appear</w:t>
            </w:r>
            <w:r w:rsidR="0032676E" w:rsidRPr="00F77FBB">
              <w:rPr>
                <w:sz w:val="21"/>
              </w:rPr>
              <w:t>ed to be</w:t>
            </w:r>
            <w:r w:rsidR="00081921" w:rsidRPr="00F77FBB">
              <w:rPr>
                <w:sz w:val="21"/>
              </w:rPr>
              <w:t xml:space="preserve"> prepared for </w:t>
            </w:r>
            <w:r w:rsidR="000F37F2" w:rsidRPr="00F77FBB">
              <w:rPr>
                <w:sz w:val="21"/>
              </w:rPr>
              <w:t>court</w:t>
            </w:r>
            <w:r w:rsidR="00A862BA" w:rsidRPr="00F77FBB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10ADDDFD" w:rsidR="0008100F" w:rsidRPr="00EE5E9B" w:rsidRDefault="007C4AD8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Ryan</w:t>
            </w:r>
            <w:r w:rsidR="001628B1" w:rsidRPr="00EE5E9B">
              <w:rPr>
                <w:sz w:val="21"/>
              </w:rPr>
              <w:t xml:space="preserve"> appear</w:t>
            </w:r>
            <w:r w:rsidR="0032676E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193033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1C2537C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77FB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D10870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563D34FD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D10870" w:rsidRPr="00D1087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6EA2354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D10870" w:rsidRPr="00D1087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6C481F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0F37F2" w:rsidRPr="00D10870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D1087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D1087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D10870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77FB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Overall</w:t>
            </w:r>
            <w:r w:rsidRPr="00F77FB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77FB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D10870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D10870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149BE584" w14:textId="329C656A" w:rsidR="000B217C" w:rsidRDefault="007C4AD8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Ryan</w:t>
            </w:r>
            <w:r w:rsidR="00780959">
              <w:rPr>
                <w:b w:val="0"/>
              </w:rPr>
              <w:t xml:space="preserve"> requested that the pretrial hearing be continued. Ryan’s client waived his right to a speedy preliminary hearing. The pretrial hearing was continued to 1/6/2025. Ryan argued for a bail reduction. However, the State objected that there was no new basis for readdressing the bail. Ryan was instructed to file a written </w:t>
            </w:r>
            <w:proofErr w:type="gramStart"/>
            <w:r w:rsidR="00780959">
              <w:rPr>
                <w:b w:val="0"/>
              </w:rPr>
              <w:t>motions</w:t>
            </w:r>
            <w:proofErr w:type="gramEnd"/>
            <w:r w:rsidR="00780959">
              <w:rPr>
                <w:b w:val="0"/>
              </w:rPr>
              <w:t xml:space="preserve"> for bail and include the change of circumstances that warrant a bail reduction.</w:t>
            </w:r>
          </w:p>
          <w:p w14:paraId="45B50DAE" w14:textId="2C15FD56" w:rsidR="00780959" w:rsidRDefault="00780959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The client also has 2 traffic citations pending. No attorney represents the client on these civil citations. These cases were continued to 1/6/2025 as well.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5705"/>
    <w:rsid w:val="000517E4"/>
    <w:rsid w:val="000541C3"/>
    <w:rsid w:val="00073C92"/>
    <w:rsid w:val="0008079A"/>
    <w:rsid w:val="0008098A"/>
    <w:rsid w:val="0008100F"/>
    <w:rsid w:val="00081921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628B1"/>
    <w:rsid w:val="00162F2C"/>
    <w:rsid w:val="00167EE2"/>
    <w:rsid w:val="00193033"/>
    <w:rsid w:val="001C68EE"/>
    <w:rsid w:val="0022184F"/>
    <w:rsid w:val="00222E03"/>
    <w:rsid w:val="00230146"/>
    <w:rsid w:val="0024242F"/>
    <w:rsid w:val="0025077E"/>
    <w:rsid w:val="002608B8"/>
    <w:rsid w:val="00260C1C"/>
    <w:rsid w:val="002731BE"/>
    <w:rsid w:val="0027597B"/>
    <w:rsid w:val="00291D3F"/>
    <w:rsid w:val="002C13CC"/>
    <w:rsid w:val="002F30D2"/>
    <w:rsid w:val="0032676E"/>
    <w:rsid w:val="00332AA5"/>
    <w:rsid w:val="00347651"/>
    <w:rsid w:val="003737E1"/>
    <w:rsid w:val="00382160"/>
    <w:rsid w:val="00390E5C"/>
    <w:rsid w:val="00391ADA"/>
    <w:rsid w:val="003A1A2F"/>
    <w:rsid w:val="003A61FE"/>
    <w:rsid w:val="003A6FBF"/>
    <w:rsid w:val="003B010C"/>
    <w:rsid w:val="003B4B6C"/>
    <w:rsid w:val="003B5049"/>
    <w:rsid w:val="003C4B64"/>
    <w:rsid w:val="003D3BCE"/>
    <w:rsid w:val="003E1670"/>
    <w:rsid w:val="00401FEC"/>
    <w:rsid w:val="00431078"/>
    <w:rsid w:val="00446CE9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6083"/>
    <w:rsid w:val="005A394E"/>
    <w:rsid w:val="005D35E8"/>
    <w:rsid w:val="005E2A02"/>
    <w:rsid w:val="005E6DB7"/>
    <w:rsid w:val="005E7B10"/>
    <w:rsid w:val="00602BA9"/>
    <w:rsid w:val="006409A0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16428"/>
    <w:rsid w:val="00723B2F"/>
    <w:rsid w:val="00731147"/>
    <w:rsid w:val="00743B27"/>
    <w:rsid w:val="00756444"/>
    <w:rsid w:val="00757EA4"/>
    <w:rsid w:val="00780959"/>
    <w:rsid w:val="00792811"/>
    <w:rsid w:val="007B75CA"/>
    <w:rsid w:val="007C4AD8"/>
    <w:rsid w:val="007F0B66"/>
    <w:rsid w:val="007F6CC1"/>
    <w:rsid w:val="008023C2"/>
    <w:rsid w:val="00813372"/>
    <w:rsid w:val="00816E0B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38E1"/>
    <w:rsid w:val="00947D18"/>
    <w:rsid w:val="009569DD"/>
    <w:rsid w:val="00961119"/>
    <w:rsid w:val="00985EF0"/>
    <w:rsid w:val="009928D6"/>
    <w:rsid w:val="00995D7B"/>
    <w:rsid w:val="009A2756"/>
    <w:rsid w:val="009B6950"/>
    <w:rsid w:val="009C16EF"/>
    <w:rsid w:val="009C2542"/>
    <w:rsid w:val="009C4407"/>
    <w:rsid w:val="009C70ED"/>
    <w:rsid w:val="009D122A"/>
    <w:rsid w:val="00A12E33"/>
    <w:rsid w:val="00A246F7"/>
    <w:rsid w:val="00A54207"/>
    <w:rsid w:val="00A5471C"/>
    <w:rsid w:val="00A66DEF"/>
    <w:rsid w:val="00A73DAE"/>
    <w:rsid w:val="00A862BA"/>
    <w:rsid w:val="00A8637F"/>
    <w:rsid w:val="00A978E4"/>
    <w:rsid w:val="00AB19B5"/>
    <w:rsid w:val="00B10E95"/>
    <w:rsid w:val="00B3085F"/>
    <w:rsid w:val="00B40071"/>
    <w:rsid w:val="00B516CF"/>
    <w:rsid w:val="00B6197C"/>
    <w:rsid w:val="00B6420B"/>
    <w:rsid w:val="00B719FB"/>
    <w:rsid w:val="00B87CAA"/>
    <w:rsid w:val="00BA5474"/>
    <w:rsid w:val="00BA5D2C"/>
    <w:rsid w:val="00BD72D8"/>
    <w:rsid w:val="00BF5403"/>
    <w:rsid w:val="00C0222D"/>
    <w:rsid w:val="00C02402"/>
    <w:rsid w:val="00C0605A"/>
    <w:rsid w:val="00C06FEA"/>
    <w:rsid w:val="00C15DCE"/>
    <w:rsid w:val="00C2564B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0870"/>
    <w:rsid w:val="00D17299"/>
    <w:rsid w:val="00D54894"/>
    <w:rsid w:val="00D66A0F"/>
    <w:rsid w:val="00D7404F"/>
    <w:rsid w:val="00D76747"/>
    <w:rsid w:val="00DA2B60"/>
    <w:rsid w:val="00DD5F67"/>
    <w:rsid w:val="00DE11BF"/>
    <w:rsid w:val="00E015DB"/>
    <w:rsid w:val="00E046A6"/>
    <w:rsid w:val="00E05C33"/>
    <w:rsid w:val="00E31535"/>
    <w:rsid w:val="00E57505"/>
    <w:rsid w:val="00E70664"/>
    <w:rsid w:val="00EA08B5"/>
    <w:rsid w:val="00EB63A2"/>
    <w:rsid w:val="00EE01AA"/>
    <w:rsid w:val="00EE23DA"/>
    <w:rsid w:val="00EE5E9B"/>
    <w:rsid w:val="00EF0C8B"/>
    <w:rsid w:val="00EF4ADD"/>
    <w:rsid w:val="00F00E0C"/>
    <w:rsid w:val="00F27046"/>
    <w:rsid w:val="00F33D21"/>
    <w:rsid w:val="00F36D7D"/>
    <w:rsid w:val="00F77FBB"/>
    <w:rsid w:val="00F80F1A"/>
    <w:rsid w:val="00F93549"/>
    <w:rsid w:val="00FC1915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6</cp:revision>
  <cp:lastPrinted>2025-01-08T18:10:00Z</cp:lastPrinted>
  <dcterms:created xsi:type="dcterms:W3CDTF">2025-01-22T15:13:00Z</dcterms:created>
  <dcterms:modified xsi:type="dcterms:W3CDTF">2025-01-22T15:21:00Z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